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DBJ25420100484248486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一、武汉市东湖新技术开发区不二烤场餐饮店的生菜碟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2025年10月29日抽自武汉市东湖新技术开发区不二烤场餐饮店的生菜碟，经抽样检验，大肠菌群项目不符合GB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208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2026-02-03T03:24:04Z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